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KfSachvG — Staatliche Technische Prüfstellen</w:t>
      </w:r>
    </w:p>
    <w:p>
      <w:r>
        <w:rPr>
          <w:color w:val="555555"/>
          <w:sz w:val="18"/>
        </w:rPr>
        <w:t xml:space="preserve">Kraftfahrsachverständigengesetz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Länder, die staatliche Technische Prüfstellen eingerichtet haben oder künftig einrichten werden, gelten § 10 Abs. 1, Abs. 2 - ausgenommen Satz 2 und 3 -, Abs. 3 und Abs. 5, § 11 sowie die §§ 12 und 13 sinngemäß.</w:t>
      </w:r>
    </w:p>
    <w:p>
      <w:r>
        <w:rPr>
          <w:color w:val="555555"/>
          <w:sz w:val="17"/>
        </w:rPr>
        <w:t xml:space="preserve">Zitiervorschlag: § 14 KfSachvG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https://recht.nulegal.eu/gesetze/KfSachvG/14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