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KfSachvG — Aufsicht über die Technische Prüfstelle</w:t>
      </w:r>
    </w:p>
    <w:p>
      <w:r>
        <w:rPr>
          <w:color w:val="555555"/>
          <w:sz w:val="18"/>
        </w:rPr>
        <w:t xml:space="preserve">Kraftfahrsachverständigengesetz</w:t>
      </w:r>
    </w:p>
    <w:p>
      <w:r>
        <w:rPr>
          <w:color w:val="555555"/>
          <w:sz w:val="18"/>
        </w:rPr>
        <w:t xml:space="preserve">Stand: 10.06.2019 (konsolidierte Textfassung, kein amtliches Inkrafttretensdatum)</w:t>
      </w:r>
    </w:p>
    <w:p>
      <w:r>
        <w:t xml:space="preserve">(1) Die zuständige Landesbehörde übt die Aufsicht über die Technische Prüfstelle aus. Sie erläßt eine Geschäftsanweisung. Der Leiter der Technischen Prüfstelle und sein Stellvertreter sind an die Geschäftsanweisung und an die Einzelanweisungen der Aufsichtsbehörde gebunden.</w:t>
      </w:r>
    </w:p>
    <w:p>
      <w:r>
        <w:t xml:space="preserve">(2) Die Aufsichtsbehörde kann die Bestätigung des Leiters der Technischen Prüfstelle oder seines Stellvertreters sowie des Leiters einer der Technischen Prüfstelle unmittelbar nachgeordneten Dienststelle und seines Stellvertreters (§ 12 Abs. 1) widerrufen, wenn die Betreffenden die von der Aufsichtsbehörde erteilten fachlichen Weisungen nicht befolgen oder den für den Betrieb der Technischen Prüfstelle maßgeblichen Vorschriften zuwiderhandeln oder keine Gewähr mehr dafür bieten, daß sie ihre Aufgaben ordnungsgemäß erfüllen werden.</w:t>
      </w:r>
    </w:p>
    <w:p>
      <w:r>
        <w:t xml:space="preserve">(3) Die Technische Prüfstelle hat der Aufsichtsbehörde über nachteilige Tatsachen, die ihr über einen Sachverständigen oder Prüfer bekanntwerden, zu berichten, wenn diese für die Anerkennung von Bedeutung sein können. Eine entsprechende Verpflichtung gilt für die nach Anlage VIII Abschnitt 7 der Straßenverkehrs-Zulassungs-Ordnung amtlich anerkannten Überwachungsorganisationen, falls ihnen über Prüfingenieure nachteilige Tatsachen bekannt werden, die für die Betrauung mit der Durchführung von Untersuchungen oder Abnahmen von Bedeutung sein können.</w:t>
      </w:r>
    </w:p>
    <w:p>
      <w:r>
        <w:rPr>
          <w:color w:val="555555"/>
          <w:sz w:val="17"/>
        </w:rPr>
        <w:t xml:space="preserve">Zitiervorschlag: § 13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