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KfSachvG — Organisation der Technischen Prüfstelle</w:t>
      </w:r>
    </w:p>
    <w:p>
      <w:r>
        <w:rPr>
          <w:color w:val="555555"/>
          <w:sz w:val="18"/>
        </w:rPr>
        <w:t xml:space="preserve">Kraftfahrsachverständigengesetz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Leiter der Technischen Prüfstelle und sein Stellvertreter sowie der Leiter einer der Technischen Prüfstelle unmittelbar nachgeordneten Dienststelle und dessen Stellvertreter müssen Sachverständige im Sinne des § 1 sein. Sie bedürfen der Bestätigung der Aufsichtsbehörde.</w:t>
      </w:r>
    </w:p>
    <w:p>
      <w:r>
        <w:t xml:space="preserve">(2) Die mit der Unterhaltung einer Technischen Prüfstelle beauftragte Stelle hat für die Durchführung der Aufgaben der Technischen Prüfstelle eine Geschäftsordnung zu erlassen, die der Genehmigung der Aufsichtsbehörde bedarf.</w:t>
      </w:r>
    </w:p>
    <w:p>
      <w:r>
        <w:rPr>
          <w:color w:val="555555"/>
          <w:sz w:val="17"/>
        </w:rPr>
        <w:t xml:space="preserve">Zitiervorschlag: § 12 KfSachvG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https://recht.nulegal.eu/gesetze/KfSachvG/12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