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KernbrStG — Zuständiges Hauptzollamt</w:t>
      </w:r>
    </w:p>
    <w:p>
      <w:r>
        <w:rPr>
          <w:color w:val="555555"/>
          <w:sz w:val="18"/>
        </w:rPr>
        <w:t xml:space="preserve">Kernbrennstoffsteuergesetz</w:t>
      </w:r>
    </w:p>
    <w:p>
      <w:r>
        <w:rPr>
          <w:color w:val="555555"/>
          <w:sz w:val="18"/>
        </w:rPr>
        <w:t xml:space="preserve">Stand: 10.06.2019 (konsolidierte Textfassung, kein amtliches Inkrafttretensdatum)</w:t>
      </w:r>
    </w:p>
    <w:p>
      <w:r>
        <w:t xml:space="preserve">Unbeschadet der Bestimmungen des § 27 der Abgabenordnung ist für den Anwendungsbereich dieses Gesetzes das Hauptzollamt örtlich zuständig, von dessen Bezirk aus die in den einzelnen Vorschriften jeweils bezeichnete Person ihr Unternehmen betreibt. Für Unternehmen, die von einem Ort außerhalb des Steuergebiets betrieben werden, ist das Hauptzollamt örtlich zuständig, in dessen Bezirk sie erstmals steuerlich in Erscheinung treten.</w:t>
      </w:r>
    </w:p>
    <w:p>
      <w:r>
        <w:rPr>
          <w:color w:val="555555"/>
          <w:sz w:val="17"/>
        </w:rPr>
        <w:t xml:space="preserve">Zitiervorschlag: § 9 KernbrStG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https://recht.nulegal.eu/gesetze/KernbrStG/9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