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KernbrStG — Steueraufsicht</w:t>
      </w:r>
    </w:p>
    <w:p>
      <w:r>
        <w:rPr>
          <w:color w:val="555555"/>
          <w:sz w:val="18"/>
        </w:rPr>
        <w:t xml:space="preserve">Kernbrennstoffsteuergesetz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Steueraufsicht im Sinn von § 209 der Abgabenordnung unterliegt der Betreiber einer Anlage zur Spaltung von Kernbrennstoffen zur gewerblichen Erzeugung von Elektrizität.</w:t>
      </w:r>
    </w:p>
    <w:p>
      <w:r>
        <w:rPr>
          <w:color w:val="555555"/>
          <w:sz w:val="17"/>
        </w:rPr>
        <w:t xml:space="preserve">Zitiervorschlag: § 8 KernbrStG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https://recht.nulegal.eu/gesetze/KernbrStG/8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