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KernbrStG — Begriffsbestimmungen</w:t>
      </w:r>
    </w:p>
    <w:p>
      <w:r>
        <w:rPr>
          <w:color w:val="555555"/>
          <w:sz w:val="18"/>
        </w:rPr>
        <w:t xml:space="preserve">Kernbrennstoffsteuergesetz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Sinn dieses Gesetzes ist:</w:t>
      </w:r>
    </w:p>
    <w:p>
      <w:pPr>
        <w:ind w:left="420"/>
      </w:pPr>
      <w:r>
        <w:t xml:space="preserve">1. Kernbrennstoff:</w:t>
      </w:r>
    </w:p>
    <w:p>
      <w:pPr>
        <w:ind w:left="780"/>
      </w:pPr>
      <w:r>
        <w:t xml:space="preserve">a) Plutonium 239 und Plutonium 241,</w:t>
      </w:r>
    </w:p>
    <w:p>
      <w:pPr>
        <w:ind w:left="780"/>
      </w:pPr>
      <w:r>
        <w:t xml:space="preserve">b) Uran 233 und Uran 235,</w:t>
      </w:r>
    </w:p>
    <w:p>
      <w:pPr>
        <w:ind w:left="420"/>
      </w:pPr>
      <w:r>
        <w:t xml:space="preserve">auch in Verbindungen, Legierungen, keramischen Erzeugnissen und Mischungen;</w:t>
      </w:r>
    </w:p>
    <w:p>
      <w:pPr>
        <w:ind w:left="420"/>
      </w:pPr>
      <w:r>
        <w:t xml:space="preserve">2. Brennelement: aus einer Vielzahl von Brennstäben montierte Anordnung, in der der Kernbrennstoff im Kernreaktor eingesetzt wird;</w:t>
      </w:r>
    </w:p>
    <w:p>
      <w:pPr>
        <w:ind w:left="420"/>
      </w:pPr>
      <w:r>
        <w:t xml:space="preserve">3. Brennstab: geometrische Form, in welcher der Kernbrennstoff, ummantelt mit Hüllmaterial, im Kernreaktor eingesetzt wird;</w:t>
      </w:r>
    </w:p>
    <w:p>
      <w:pPr>
        <w:ind w:left="420"/>
      </w:pPr>
      <w:r>
        <w:t xml:space="preserve">4. Kettenreaktion: Prozess, bei dem Neutronen durch Spaltung von Kernbrennstoffen weitere Neutronen freisetzen, die wieder zur Spaltung von weiterem Kernbrennstoff führen;</w:t>
      </w:r>
    </w:p>
    <w:p>
      <w:pPr>
        <w:ind w:left="420"/>
      </w:pPr>
      <w:r>
        <w:t xml:space="preserve">5. Kernreaktor: geometrische Anordnung von Brennelementen beziehungsweise Brennstäben sowie anderen technischen Komponenten in einer Art, dass dort eine sich selbsttragende, kontrollierte Kettenreaktion stattfinden kann;</w:t>
      </w:r>
    </w:p>
    <w:p>
      <w:pPr>
        <w:ind w:left="420"/>
      </w:pPr>
      <w:r>
        <w:t xml:space="preserve">6. Betreiber: derjenige, der Inhaber einer Genehmigung zum Betrieb einer Anlage zur Spaltung von Kernbrennstoff zur gewerblichen Erzeugung von Elektrizität ist.</w:t>
      </w:r>
    </w:p>
    <w:p>
      <w:r>
        <w:rPr>
          <w:color w:val="555555"/>
          <w:sz w:val="17"/>
        </w:rPr>
        <w:t xml:space="preserve">Zitiervorschlag: § 2 KernbrStG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https://recht.nulegal.eu/gesetze/KernbrStG/2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