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KernbrStG — Inkrafttreten</w:t>
      </w:r>
    </w:p>
    <w:p>
      <w:r>
        <w:rPr>
          <w:color w:val="555555"/>
          <w:sz w:val="18"/>
        </w:rPr>
        <w:t xml:space="preserve">Kernbrennstoffsteuergesetz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1. Januar 2011 in Kraft.</w:t>
      </w:r>
    </w:p>
    <w:p>
      <w:r>
        <w:rPr>
          <w:color w:val="555555"/>
          <w:sz w:val="17"/>
        </w:rPr>
        <w:t xml:space="preserve">Zitiervorschlag: § 13 KernbrStG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https://recht.nulegal.eu/gesetze/KernbrStG/13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