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KernbrStG — Anwendungsvorschrift</w:t>
      </w:r>
    </w:p>
    <w:p>
      <w:r>
        <w:rPr>
          <w:color w:val="555555"/>
          <w:sz w:val="18"/>
        </w:rPr>
        <w:t xml:space="preserve">Kernbrennstoffsteuergesetz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ist auf Besteuerungsvorgänge anzuwenden, bei denen die sich selbsttragende Kettenreaktion vor dem 1. Januar 2017 ausgelöst wurde.</w:t>
      </w:r>
    </w:p>
    <w:p>
      <w:r>
        <w:rPr>
          <w:color w:val="555555"/>
          <w:sz w:val="17"/>
        </w:rPr>
        <w:t xml:space="preserve">Zitiervorschlag: § 12 KernbrStG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https://recht.nulegal.eu/gesetze/KernbrStG/12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