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KernbrStG — Bußgeldvorschriften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 des § 381 Absatz 1 Nummer 1 der Abgabenordnung handelt, wer vorsätzlich oder leichtfertig</w:t>
      </w:r>
    </w:p>
    <w:p>
      <w:pPr>
        <w:ind w:left="420"/>
      </w:pPr>
      <w:r>
        <w:t xml:space="preserve">1. entgegen § 4 Absatz 1 Satz 1 den Betrieb einer Anlage zur Spaltung von Kernbrennstoffen zur gewerblichen Erzeugung von Elektrizität nicht, nicht richtig, nicht vollständig oder nicht rechtzeitig anmeldet,</w:t>
      </w:r>
    </w:p>
    <w:p>
      <w:pPr>
        <w:ind w:left="420"/>
      </w:pPr>
      <w:r>
        <w:t xml:space="preserve">2. entgegen § 4 Absatz 3 Satz 1 eine Aufzeichnung nicht, nicht richtig, nicht vollständig oder nicht rechtzeitig führt,</w:t>
      </w:r>
    </w:p>
    <w:p>
      <w:pPr>
        <w:ind w:left="420"/>
      </w:pPr>
      <w:r>
        <w:t xml:space="preserve">3. einer vollziehbaren Anordnung nach § 4 Absatz 3 Satz 3 zuwiderhandelt oder</w:t>
      </w:r>
    </w:p>
    <w:p>
      <w:pPr>
        <w:ind w:left="420"/>
      </w:pPr>
      <w:r>
        <w:t xml:space="preserve">4. entgegen § 4 Absatz 5 eine Änderung nicht, nicht richtig, nicht vollständig oder nicht rechtzeitig anzeigt.</w:t>
      </w:r>
    </w:p>
    <w:p>
      <w:r>
        <w:rPr>
          <w:color w:val="555555"/>
          <w:sz w:val="17"/>
        </w:rPr>
        <w:t xml:space="preserve">Zitiervorschlag: § 10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