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KernbrStG — Steuergegenstand, Steuergebiet</w:t>
      </w:r>
    </w:p>
    <w:p>
      <w:r>
        <w:rPr>
          <w:color w:val="555555"/>
          <w:sz w:val="18"/>
        </w:rPr>
        <w:t xml:space="preserve">Kernbrennstoffsteuergesetz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Kernbrennstoff, der zur gewerblichen Erzeugung von elektrischem Strom verwendet wird, unterliegt im Steuergebiet der Kernbrennstoffsteuer. Die Kernbrennstoffsteuer ist eine Verbrauchsteuer im Sinn der Abgabenordnung.</w:t>
      </w:r>
    </w:p>
    <w:p>
      <w:r>
        <w:t xml:space="preserve">(2) Steuergebiet ist das Gebiet der Bundesrepublik Deutschland ohne das Gebiet von Büsingen und ohne die Insel Helgoland.</w:t>
      </w:r>
    </w:p>
    <w:p>
      <w:r>
        <w:rPr>
          <w:color w:val="555555"/>
          <w:sz w:val="17"/>
        </w:rPr>
        <w:t xml:space="preserve">Zitiervorschlag: § 1 KernbrStG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https://recht.nulegal.eu/gesetze/KernbrStG/1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