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KeramMstrV 2006</w:t>
      </w:r>
    </w:p>
    <w:p>
      <w:r>
        <w:rPr>
          <w:color w:val="555555"/>
          <w:sz w:val="18"/>
        </w:rPr>
        <w:t xml:space="preserve">Keramikermeisterverordnung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51a Abs. 2 in Verbindung mit Abs. 1 der Handwerksordnung in der Fassung der Bekanntmachung vom 24. September 1998 (BGBl. I S. 3074), der durch Artikel 2 Nr. 24 des Gesetzes vom 23. März 2005 (BGBl. I S. 931) geändert worden ist, in Verbindung mit § 1 Abs. 2 des Zuständigkeitsanpassungsgesetzes vom 16. August 2002 (BGBl. I S. 3165) und dem Organisationserlass vom 22. November 2005 (BGBl. I S. 3197)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KeramMstrV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https://recht.nulegal.eu/gesetze/KeramMstrV%202006/eingangsformel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