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KeramMstrV 2006 — Allgemeine Prüfungs- und Verfahrensregelungen, weitere Regelungen zur Meisterprüfung</w:t>
      </w:r>
    </w:p>
    <w:p>
      <w:r>
        <w:rPr>
          <w:color w:val="555555"/>
          <w:sz w:val="18"/>
        </w:rPr>
        <w:t xml:space="preserve">Keramikermeisterverordnung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KeramMstrV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https://recht.nulegal.eu/gesetze/KeramMstrV%202006/9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