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KerIndAusbV — Schriftlicher Ausbildungsnachweis</w:t>
      </w:r>
    </w:p>
    <w:p>
      <w:r>
        <w:rPr>
          <w:color w:val="555555"/>
          <w:sz w:val="18"/>
        </w:rPr>
        <w:t xml:space="preserve">Verordnung über die Berufsausbildung in der keramischen Industrie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Auszubildenden haben einen schriftlichen Ausbildungsnachweis zu führen. Ihnen ist Gelegenheit zu geben, den schriftlichen Ausbildungsnachweis während der Ausbildungszeit zu führen. Die Ausbildenden haben den schriftlichen Ausbildungsnachweis regelmäßig durchzusehen.</w:t>
      </w:r>
    </w:p>
    <w:p>
      <w:r>
        <w:rPr>
          <w:color w:val="555555"/>
          <w:sz w:val="17"/>
        </w:rPr>
        <w:t xml:space="preserve">Zitiervorschlag: § 7 KerIndAusbV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https://recht.nulegal.eu/gesetze/KerIndAusbV/7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