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KerIndAusbV — Ausbildungsberufsbild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Planen und Organisieren von Arbeitsabläufen, Bewerten von Arbeitsergebnissen, Geschäftsprozesse,</w:t>
      </w:r>
    </w:p>
    <w:p>
      <w:pPr>
        <w:ind w:left="420"/>
      </w:pPr>
      <w:r>
        <w:t xml:space="preserve">7. Unterscheiden, Zuordnen und Handhaben von Roh-, Hilfs- und Werkstoffen, Keramisches Rechnen,</w:t>
      </w:r>
    </w:p>
    <w:p>
      <w:pPr>
        <w:ind w:left="420"/>
      </w:pPr>
      <w:r>
        <w:t xml:space="preserve">8. Formgebung und Veredlung,</w:t>
      </w:r>
    </w:p>
    <w:p>
      <w:pPr>
        <w:ind w:left="420"/>
      </w:pPr>
      <w:r>
        <w:t xml:space="preserve">9. Warten und Pflegen von Betriebsmitteln,</w:t>
      </w:r>
    </w:p>
    <w:p>
      <w:pPr>
        <w:ind w:left="420"/>
      </w:pPr>
      <w:r>
        <w:t xml:space="preserve">10. Trocknen und Brennen,</w:t>
      </w:r>
    </w:p>
    <w:p>
      <w:pPr>
        <w:ind w:left="420"/>
      </w:pPr>
      <w:r>
        <w:t xml:space="preserve">11. Durchführen qualitätssichernder Maßnahmen,</w:t>
      </w:r>
    </w:p>
    <w:p>
      <w:pPr>
        <w:ind w:left="420"/>
      </w:pPr>
      <w:r>
        <w:t xml:space="preserve">12. Vorbereiten keramischer Massen und Glasuren,</w:t>
      </w:r>
    </w:p>
    <w:p>
      <w:pPr>
        <w:ind w:left="420"/>
      </w:pPr>
      <w:r>
        <w:t xml:space="preserve">13. Herstellen von Einrichtungen,</w:t>
      </w:r>
    </w:p>
    <w:p>
      <w:pPr>
        <w:ind w:left="420"/>
      </w:pPr>
      <w:r>
        <w:t xml:space="preserve">14. Herstellen von Arbeitsformen,</w:t>
      </w:r>
    </w:p>
    <w:p>
      <w:pPr>
        <w:ind w:left="420"/>
      </w:pPr>
      <w:r>
        <w:t xml:space="preserve">15. Keramische Massen formen,</w:t>
      </w:r>
    </w:p>
    <w:p>
      <w:pPr>
        <w:ind w:left="420"/>
      </w:pPr>
      <w:r>
        <w:t xml:space="preserve">16. Trocknen und Brennen,</w:t>
      </w:r>
    </w:p>
    <w:p>
      <w:pPr>
        <w:ind w:left="420"/>
      </w:pPr>
      <w:r>
        <w:t xml:space="preserve">17. Glasieren und Dekorieren,</w:t>
      </w:r>
    </w:p>
    <w:p>
      <w:pPr>
        <w:ind w:left="420"/>
      </w:pPr>
      <w:r>
        <w:t xml:space="preserve">18. Sortieren und Nachbearbeiten.</w:t>
      </w:r>
    </w:p>
    <w:p>
      <w:r>
        <w:rPr>
          <w:color w:val="555555"/>
          <w:sz w:val="17"/>
        </w:rPr>
        <w:t xml:space="preserve">Zitiervorschlag: § 22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