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KerIndAusbV — Staatliche Anerkennung der Ausbildungsberufe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Industriekeramiker Anlagentechnik/Industriekeramikerin Anlagentechnik,</w:t>
      </w:r>
    </w:p>
    <w:p>
      <w:pPr>
        <w:ind w:left="420"/>
      </w:pPr>
      <w:r>
        <w:t xml:space="preserve">2. Industriekeramiker Dekorationstechnik/Industriekeramikerin Dekorationstechnik,</w:t>
      </w:r>
    </w:p>
    <w:p>
      <w:pPr>
        <w:ind w:left="420"/>
      </w:pPr>
      <w:r>
        <w:t xml:space="preserve">3. Industriekeramiker Modelltechnik/Industriekeramikerin Modelltechnik und</w:t>
      </w:r>
    </w:p>
    <w:p>
      <w:pPr>
        <w:ind w:left="420"/>
      </w:pPr>
      <w:r>
        <w:t xml:space="preserve">4. Industriekeramiker Verfahrenstechnik/Industriekeramikerin Verfahrenstechnik</w:t>
      </w:r>
    </w:p>
    <w:p>
      <w:r>
        <w:t xml:space="preserve">werden staatlich anerkannt.</w:t>
      </w:r>
    </w:p>
    <w:p>
      <w:r>
        <w:rPr>
          <w:color w:val="555555"/>
          <w:sz w:val="17"/>
        </w:rPr>
        <w:t xml:space="preserve">Zitiervorschlag: § 1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