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KerAusbV 2009</w:t>
      </w:r>
    </w:p>
    <w:p>
      <w:r>
        <w:rPr>
          <w:color w:val="555555"/>
          <w:sz w:val="18"/>
        </w:rPr>
        <w:t xml:space="preserve">Keramikgewerbe-Ausbildungsverordnung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in Verbindung mit § 26 Absatz 1 und 2 der Handwerksordnung in der Fassung der Bekanntmachung vom 24. September 1998 (BGBl. I S. 3074; 2006 I S. 2095), von denen § 25 Absatz 1 zuletzt durch Artikel 146 der Verordnung vom 31. Oktober 2006 (BGBl. I S. 2407) geändert und § 26 durch Artikel 2 Nummer 4 des Gesetzes vom 23. März 2005 (BGBl. I S. 931) neu gefasst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KerAusbV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https://recht.nulegal.eu/gesetze/KerAusbV%202009/eingangsformel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