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KerAusbV 2009 — Struktur der Berufsausbildung</w:t>
      </w:r>
    </w:p>
    <w:p>
      <w:r>
        <w:rPr>
          <w:color w:val="555555"/>
          <w:sz w:val="18"/>
        </w:rPr>
        <w:t xml:space="preserve">Keramikgewerbe-Ausbildungsverordnung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Berufsausbildung gliedert sich in</w:t>
      </w:r>
    </w:p>
    <w:p>
      <w:pPr>
        <w:ind w:left="420"/>
      </w:pPr>
      <w:r>
        <w:t xml:space="preserve">1. Pflichtqualifikationen nach § 4 Absatz 2 Abschnitt A und C,</w:t>
      </w:r>
    </w:p>
    <w:p>
      <w:pPr>
        <w:ind w:left="420"/>
      </w:pPr>
      <w:r>
        <w:t xml:space="preserve">2. eine im Ausbildungsvertrag festzulegende Wahlqualifikation nach § 4 Absatz 2 Abschnitt B Nummer 1, 2 oder Nummer 3 und</w:t>
      </w:r>
    </w:p>
    <w:p>
      <w:pPr>
        <w:ind w:left="420"/>
      </w:pPr>
      <w:r>
        <w:t xml:space="preserve">3. eine im Ausbildungsvertrag festzulegende Wahlqualifikation nach § 4 Absatz 2 Abschnitt B Nummer 4, 5 oder Nummer 6.</w:t>
      </w:r>
    </w:p>
    <w:p>
      <w:r>
        <w:rPr>
          <w:color w:val="555555"/>
          <w:sz w:val="17"/>
        </w:rPr>
        <w:t xml:space="preserve">Zitiervorschlag: § 3 KerAusbV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https://recht.nulegal.eu/gesetze/KerAusbV%202009/3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KerAusbV 2009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