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KerAusbV 2009 — Dauer der Berufsausbildung</w:t>
      </w:r>
    </w:p>
    <w:p>
      <w:r>
        <w:rPr>
          <w:color w:val="555555"/>
          <w:sz w:val="18"/>
        </w:rPr>
        <w:t xml:space="preserve">Keramikgewerbe-Ausbildungsverordnung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KerAusbV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https://recht.nulegal.eu/gesetze/KerAusbV%202009/2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