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KennzVO (Sachsen)</w:t>
      </w:r>
    </w:p>
    <w:p>
      <w:r>
        <w:rPr>
          <w:color w:val="555555"/>
          <w:sz w:val="18"/>
        </w:rPr>
        <w:t xml:space="preserve">Kennzeichnungsverordnung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15 Abs. 3 des Sächsischen Gesetzes über Naturschutz und Landschaftspflege (Sächsisches Naturschutzgesetz – SächsNatSchG ) vom 16. Dezember 1992 (SächsGVBl. S. 571) wird verordnet:</w:t>
      </w:r>
    </w:p>
    <w:p>
      <w:r>
        <w:rPr>
          <w:color w:val="555555"/>
          <w:sz w:val="17"/>
        </w:rPr>
        <w:t xml:space="preserve">Zitiervorschlag: Eingangsformel KennzVO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https://recht.nulegal.eu/gesetze/KennzVO/eingangsformel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