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KennzVO (Sachsen) — Inkrafttreten</w:t>
      </w:r>
    </w:p>
    <w:p>
      <w:r>
        <w:rPr>
          <w:color w:val="555555"/>
          <w:sz w:val="18"/>
        </w:rPr>
        <w:t xml:space="preserve">Kennzeichnungsverordnung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15. Juni 1993</w:t>
      </w:r>
    </w:p>
    <w:p>
      <w:r>
        <w:t xml:space="preserve">Der Staatsminister für Umwelt und Landesentwicklung</w:t>
      </w:r>
    </w:p>
    <w:p>
      <w:r>
        <w:t xml:space="preserve">Arnold Vaatz</w:t>
      </w:r>
    </w:p>
    <w:p>
      <w:r>
        <w:rPr>
          <w:color w:val="555555"/>
          <w:sz w:val="17"/>
        </w:rPr>
        <w:t xml:space="preserve">Zitiervorschlag: § 7 KennzVO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https://recht.nulegal.eu/gesetze/KennzVO/7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