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KennzVO (Sachsen) — Kennzeichnung bei Beschränkung des Betretungsrechtes und bei Betretungsverbot</w:t>
      </w:r>
    </w:p>
    <w:p>
      <w:r>
        <w:rPr>
          <w:color w:val="555555"/>
          <w:sz w:val="18"/>
        </w:rPr>
        <w:t xml:space="preserve">Kennzeichnungsverordnung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Das Aufheben oder Beschränken des Rechtes auf Betreten der freien Landschaft durch Naturschutzbehörden gemäß § 25 Abs. 5 und 31 Abs. 4 SächsNatSchG ist durch das in der Anlage 2 dargestellte Schild kundzutun. Das Schild kann auch in Verbindung mit geeigneten Sperren gemäß § 32 Abs. 2 SächsNatSchG verwendet werden.</w:t>
      </w:r>
    </w:p>
    <w:p>
      <w:r>
        <w:t xml:space="preserve">(2) Beschränkungen des Betretungsrechtes sowie die erlassende Naturschutzbehörde sollen auf dem Schild vermerkt werden.</w:t>
      </w:r>
    </w:p>
    <w:p>
      <w:r>
        <w:rPr>
          <w:color w:val="555555"/>
          <w:sz w:val="17"/>
        </w:rPr>
        <w:t xml:space="preserve">Zitiervorschlag: § 6 KennzVO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https://recht.nulegal.eu/gesetze/KennzVO/6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