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KatSV (Brandenburg) — Einsatz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Katastrophenschutzeinheiten und -einrichtungen führen die notwendigen Einsatzmaßnahmen gemäß § 43 Absatz 1 des Brandenburgischen Brand- und Katastrophenschutzgesetzes auf Anordnung der zuständigen Katastrophenschutzbehörde durch.</w:t>
      </w:r>
    </w:p>
    <w:p>
      <w:r>
        <w:t xml:space="preserve">(2) Das Koordinierungszentrum Krisenmanagement der Landesregierung kann auf Ersuchen der örtlich zuständigen unteren Katastrophenschutzbehörde den unterstützenden Einsatz von personellen und sächlichen Ressourcen vermitteln.</w:t>
      </w:r>
    </w:p>
    <w:p>
      <w:r>
        <w:rPr>
          <w:color w:val="555555"/>
          <w:sz w:val="17"/>
        </w:rPr>
        <w:t xml:space="preserve">Zitiervorschlag: § 6 KatSV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