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KatSV (Brandenburg) — Aufgabenerfüllung und Mitwirkung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Zur Erfüllung ihrer Aufgaben gemäß § 2 Absatz 1 Nummer 3 des Brandenburgischen Brand- und Katastrophenschutzgesetzes setzen die unteren Katastrophenschutzbehörden neben den öffentlichen Feuerwehren die in § 18 Absatz 1 des Brandenburgischen Brand- und Katastrophenschutzgesetzes genannten mitwirkenden Hilfsorganisationen ein. Die Aufgabenträger können die Einheiten auch selbst betreiben (Regieeinheiten).</w:t>
      </w:r>
    </w:p>
    <w:p>
      <w:r>
        <w:t xml:space="preserve">(2) Die unteren Katastrophenschutzbehörden können insbesondere in den Fachdiensten Versorgung und Bergung/Instandsetzung mit der Bundesanstalt Technisches Hilfswerk gemäß § 18 Absatz 1 Satz 2 des Brandenburgischen Brand- und Katastrophenschutzgesetzes zusammenwirken.</w:t>
      </w:r>
    </w:p>
    <w:p>
      <w:r>
        <w:rPr>
          <w:color w:val="555555"/>
          <w:sz w:val="17"/>
        </w:rPr>
        <w:t xml:space="preserve">Zitiervorschlag: § 3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