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KastrG — Strafvorschrift</w:t>
      </w:r>
    </w:p>
    <w:p>
      <w:r>
        <w:rPr>
          <w:color w:val="555555"/>
          <w:sz w:val="18"/>
        </w:rPr>
        <w:t xml:space="preserve">Gesetz über die freiwillige Kastration und andere Behandlungsmethoden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als Arzt unter den Voraussetzungen der §§ 2 und 3 einen anderen kastriert oder im Sinne des § 4 behandelt, ohne daß</w:t>
      </w:r>
    </w:p>
    <w:p>
      <w:pPr>
        <w:ind w:left="420"/>
      </w:pPr>
      <w:r>
        <w:t xml:space="preserve">1. die Gutachterstelle die nach § 5 notwendige Bestätigung oder</w:t>
      </w:r>
    </w:p>
    <w:p>
      <w:pPr>
        <w:ind w:left="420"/>
      </w:pPr>
      <w:r>
        <w:t xml:space="preserve">2. das Betreuungsgericht die nach § 6 erforderliche Genehmigung</w:t>
      </w:r>
    </w:p>
    <w:p>
      <w:r>
        <w:t xml:space="preserve">erteilt hat,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7 KastrG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https://recht.nulegal.eu/gesetze/KastrG/7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