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KastrG — Gutachterstelle</w:t>
      </w:r>
    </w:p>
    <w:p>
      <w:r>
        <w:rPr>
          <w:color w:val="555555"/>
          <w:sz w:val="18"/>
        </w:rPr>
        <w:t xml:space="preserve">Gesetz über die freiwillige Kastration und andere Behandlungsmethoden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Kastration darf erst vorgenommen werden, nachdem eine Gutachterstelle bestätigt hat, daß</w:t>
      </w:r>
    </w:p>
    <w:p>
      <w:pPr>
        <w:ind w:left="420"/>
      </w:pPr>
      <w:r>
        <w:t xml:space="preserve">1. ein ärztliches Mitglied der Gutachterstelle den Betroffenen untersucht sowie die in diesem Gesetz vorgeschriebene Aufklärung des Betroffenen und anderer Personen vorgenommen hat und</w:t>
      </w:r>
    </w:p>
    <w:p>
      <w:pPr>
        <w:ind w:left="420"/>
      </w:pPr>
      <w:r>
        <w:t xml:space="preserve">2. die Voraussetzungen der §§ 2 und 3 vorliegen.</w:t>
      </w:r>
    </w:p>
    <w:p>
      <w:r>
        <w:t xml:space="preserve">(2) Absatz 1 ist bei einer Behandlung nach § 4 entsprechend anzuwenden, wenn der Betroffene nicht fähig ist, Grund und Bedeutung der Behandlung voll einzusehen und seinen Willen hiernach zu bestimmen, oder das einundzwanzigste Lebensjahr noch nicht vollendet hat.</w:t>
      </w:r>
    </w:p>
    <w:p>
      <w:r>
        <w:t xml:space="preserve">(3) Einrichtung und Verfahren der Gutachterstelle bestimmen sich nach dem Landesrecht.</w:t>
      </w:r>
    </w:p>
    <w:p>
      <w:r>
        <w:rPr>
          <w:color w:val="555555"/>
          <w:sz w:val="17"/>
        </w:rPr>
        <w:t xml:space="preserve">Zitiervorschlag: § 5 KastrG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https://recht.nulegal.eu/gesetze/KastrG/5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