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KastrG — Andere Behandlungsmethoden</w:t>
      </w:r>
    </w:p>
    <w:p>
      <w:r>
        <w:rPr>
          <w:color w:val="555555"/>
          <w:sz w:val="18"/>
        </w:rPr>
        <w:t xml:space="preserve">Gesetz über die freiwillige Kastration und andere Behandlungsmethoden</w:t>
      </w:r>
    </w:p>
    <w:p>
      <w:r>
        <w:rPr>
          <w:color w:val="555555"/>
          <w:sz w:val="18"/>
        </w:rPr>
        <w:t xml:space="preserve">Stand: 10.06.2019 (konsolidierte Textfassung, kein amtliches Inkrafttretensdatum)</w:t>
      </w:r>
    </w:p>
    <w:p>
      <w:r>
        <w:t xml:space="preserve">(1) Die §§ 2 und 3 Abs. 1 bis 3 gelten entsprechend für eine gegen die Auswirkungen eines abnormen Geschlechtstriebes gerichtete ärztliche Behandlung eines Mannes oder einer Frau, mit der nicht beabsichtigt ist, die Keimdrüsen dauernd funktionsunfähig zu machen, die aber eine solche Folge haben kann. Die Behandlung ist auch zulässig, wenn der Betroffene noch nicht fünfundzwanzig Jahre alt ist.</w:t>
      </w:r>
    </w:p>
    <w:p>
      <w:r>
        <w:t xml:space="preserve">(2) Ist der Betroffene unfähig, die unmittelbaren Folgen der Behandlung und einer etwaigen Funktionsunfähigkeit der Keimdrüsen einzusehen, so ist die Behandlung im Sinne des Absatzes 1 unter den Voraussetzungen des § 3 Abs. 3 Nr. 2 zulässig, wenn sie nach den Erkenntnissen der medizinischen Wissenschaft angezeigt ist und vorgenommen wird, um eine schwerwiegende Krankheit des Betroffenen zu verhüten, zu heilen oder zu lindern.</w:t>
      </w:r>
    </w:p>
    <w:p>
      <w:r>
        <w:t xml:space="preserve">(3) Ist der Betroffene minderjährig, so ist die Einwilligung seines gesetzlichen Vertreters in jedem Fall erforderlich. § 3 Abs. 3 Nr. 2 ist nicht anzuwenden. Steht dem gesetzlichen Vertreter eines Minderjährigen nicht gleichzeitig die Sorge für die Person des Minderjährigen zu oder ist neben ihm noch ein anderer sorgeberechtigt, so ist auch die Einwilligung des Sorgeberechtigten erforderlich. Die Einwilligung ist unwirksam, wenn der Einwilligende nicht im Sinne des § 3 Abs. 1 aufgeklärt worden ist.</w:t>
      </w:r>
    </w:p>
    <w:p>
      <w:r>
        <w:rPr>
          <w:color w:val="555555"/>
          <w:sz w:val="17"/>
        </w:rPr>
        <w:t xml:space="preserve">Zitiervorschlag: § 4 KastrG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https://recht.nulegal.eu/gesetze/KastrG/4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