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KastrG — Voraussetzungen der Kastration</w:t>
      </w:r>
    </w:p>
    <w:p>
      <w:r>
        <w:rPr>
          <w:color w:val="555555"/>
          <w:sz w:val="18"/>
        </w:rPr>
        <w:t xml:space="preserve">Gesetz über die freiwillige Kastration und andere Behandlungsmethoden</w:t>
      </w:r>
    </w:p>
    <w:p>
      <w:r>
        <w:rPr>
          <w:color w:val="555555"/>
          <w:sz w:val="18"/>
        </w:rPr>
        <w:t xml:space="preserve">Stand: 10.06.2019 (konsolidierte Textfassung, kein amtliches Inkrafttretensdatum)</w:t>
      </w:r>
    </w:p>
    <w:p>
      <w:r>
        <w:t xml:space="preserve">(1) Die Kastration durch einen Arzt ist nicht als Körperverletzung strafbar, wenn</w:t>
      </w:r>
    </w:p>
    <w:p>
      <w:pPr>
        <w:ind w:left="420"/>
      </w:pPr>
      <w:r>
        <w:t xml:space="preserve">1. der Betroffene einwilligt (§ 3),</w:t>
      </w:r>
    </w:p>
    <w:p>
      <w:pPr>
        <w:ind w:left="420"/>
      </w:pPr>
      <w:r>
        <w:t xml:space="preserve">2. die Behandlung nach den Erkenntnissen der medizinischen Wissenschaft angezeigt ist, um bei dem Betroffenen schwerwiegende Krankheiten, seelische Störungen oder Leiden, die mit seinem abnormen Geschlechtstrieb zusammenhängen, zu verhüten, zu heilen oder zu lindern,</w:t>
      </w:r>
    </w:p>
    <w:p>
      <w:pPr>
        <w:ind w:left="420"/>
      </w:pPr>
      <w:r>
        <w:t xml:space="preserve">3. der Betroffene das fünfundzwanzigste Lebensjahr vollendet hat,</w:t>
      </w:r>
    </w:p>
    <w:p>
      <w:pPr>
        <w:ind w:left="420"/>
      </w:pPr>
      <w:r>
        <w:t xml:space="preserve">4. für ihn körperlich oder seelisch durch die Kastration keine Nachteile zu erwarten sind, die zu dem mit der Behandlung angestrebten Erfolg außer Verhältnis stehen, und</w:t>
      </w:r>
    </w:p>
    <w:p>
      <w:pPr>
        <w:ind w:left="420"/>
      </w:pPr>
      <w:r>
        <w:t xml:space="preserve">5. die Behandlung nach den Erkenntnissen der medizinischen Wissenschaft vorgenommen wird.</w:t>
      </w:r>
    </w:p>
    <w:p>
      <w:r>
        <w:t xml:space="preserve">(2) Unter den Voraussetzungen des Absatzes 1 Nr. 1, 3 bis 5 ist die Kastration durch einen Arzt auch dann nicht als Körperverletzung strafbar, wenn bei dem Betroffenen ein abnormer Geschlechtstrieb gegeben ist, der nach seiner Persönlichkeit und bisherigen Lebensführung die Begehung rechtswidriger Taten im Sinne der §§ 176 bis 178, 211, 212, 223 bis 227 des Strafgesetzbuches erwarten läßt, und die Kastration nach den Erkenntnissen der medizinischen Wissenschaft angezeigt ist, um dieser Gefahr zu begegnen und damit dem Betroffenen bei seiner künftigen Lebensführung zu helfen.</w:t>
      </w:r>
    </w:p>
    <w:p>
      <w:r>
        <w:rPr>
          <w:color w:val="555555"/>
          <w:sz w:val="17"/>
        </w:rPr>
        <w:t xml:space="preserve">Zitiervorschlag: § 2 KastrG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https://recht.nulegal.eu/gesetze/KastrG/2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