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KastrG — Begriffsbestimmung</w:t>
      </w:r>
    </w:p>
    <w:p>
      <w:r>
        <w:rPr>
          <w:color w:val="555555"/>
          <w:sz w:val="18"/>
        </w:rPr>
        <w:t xml:space="preserve">Gesetz über die freiwillige Kastration und andere Behandlungsmethoden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Kastration im Sinne dieses Gesetzes ist eine gegen die Auswirkungen eines abnormen Geschlechtstriebes gerichtete Behandlung, durch welche die Keimdrüsen eines Mannes absichtlich entfernt oder dauernd funktionsunfähig gemacht werden.</w:t>
      </w:r>
    </w:p>
    <w:p>
      <w:r>
        <w:rPr>
          <w:color w:val="555555"/>
          <w:sz w:val="17"/>
        </w:rPr>
        <w:t xml:space="preserve">Zitiervorschlag: § 1 KastrG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https://recht.nulegal.eu/gesetze/KastrG/1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