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KassenSichV</w:t>
      </w:r>
    </w:p>
    <w:p>
      <w:r>
        <w:rPr>
          <w:color w:val="555555"/>
          <w:sz w:val="18"/>
        </w:rPr>
        <w:t xml:space="preserve">Kassensicherungsverordnung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146a Absatz 3 Satz 1 der Abgabenordnung, der durch Artikel 1 Nummer 3 des Gesetzes vom 22. Dezember 2016 (BGBl. I S. 3152) eingefügt worden ist, verordnet das Bundesministerium der Finanzen im Einvernehmen mit dem Bundesministerium des Innern und dem Bundesministerium für Wirtschaft und Energie und unter Wahrung der Rechte des Bundestages:</w:t>
      </w:r>
    </w:p>
    <w:p>
      <w:r>
        <w:rPr>
          <w:color w:val="555555"/>
          <w:sz w:val="17"/>
        </w:rPr>
        <w:t xml:space="preserve">Zitiervorschlag: Eingangsformel KassenSichV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https://recht.nulegal.eu/gesetze/KassenSichV/eingangsformel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