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KassenSichV — Anforderungen an Wegstreckenzähler</w:t>
      </w:r>
    </w:p>
    <w:p>
      <w:r>
        <w:rPr>
          <w:color w:val="555555"/>
          <w:sz w:val="18"/>
        </w:rPr>
        <w:t xml:space="preserve">Kassensicherungsverordnung</w:t>
      </w:r>
    </w:p>
    <w:p>
      <w:r>
        <w:rPr>
          <w:color w:val="555555"/>
          <w:sz w:val="18"/>
        </w:rPr>
        <w:t xml:space="preserve">Stand: 01.02.2026 (konsolidierte Textfassung, kein amtliches Inkrafttretensdatum)</w:t>
      </w:r>
    </w:p>
    <w:p>
      <w:r>
        <w:t xml:space="preserve">(1) Die §§ 2 und 6 Satz 1 sind auf Wegstreckenzähler nicht anzuwenden.</w:t>
      </w:r>
    </w:p>
    <w:p>
      <w:r>
        <w:t xml:space="preserve">(2) Die Transaktion bei Wegstreckenzählern hat</w:t>
      </w:r>
    </w:p>
    <w:p>
      <w:pPr>
        <w:ind w:left="420"/>
      </w:pPr>
      <w:r>
        <w:t xml:space="preserve">1. die Zählwerksdaten und die allgemeinen Daten nach § 7 Absatz 2 Satz 2 Nummer 1,</w:t>
      </w:r>
    </w:p>
    <w:p>
      <w:pPr>
        <w:ind w:left="420"/>
      </w:pPr>
      <w:r>
        <w:t xml:space="preserve">2. die Preisdaten einer Fahrt nach § 7 Absatz 2 Satz 2 Nummer 1,</w:t>
      </w:r>
    </w:p>
    <w:p>
      <w:pPr>
        <w:ind w:left="420"/>
      </w:pPr>
      <w:r>
        <w:t xml:space="preserve">3. eine eindeutige und fortlaufende Transaktionsnummer sowie</w:t>
      </w:r>
    </w:p>
    <w:p>
      <w:pPr>
        <w:ind w:left="420"/>
      </w:pPr>
      <w:r>
        <w:t xml:space="preserve">4. die Prüfwerte</w:t>
      </w:r>
    </w:p>
    <w:p>
      <w:r>
        <w:t xml:space="preserve">zu enthalten. Die Daten nach Satz 1 Nummer 1 und 2 sind nur aufzuzeichnen, soweit diese durch den Wegstreckenzähler erzeugt werden. Die Daten nach Satz 1 Nummer 3 und 4 werden manipulationssicher durch das Sicherheitsmodul festgelegt. Die Transaktionsnummer muss so beschaffen sein, dass Lücken in den Transaktionsaufzeichnungen erkennbar sind.</w:t>
      </w:r>
    </w:p>
    <w:p>
      <w:r>
        <w:t xml:space="preserve">(3) Bei Wegstreckenzählern hat der Beleg mindestens zu enthalten:</w:t>
      </w:r>
    </w:p>
    <w:p>
      <w:pPr>
        <w:ind w:left="420"/>
      </w:pPr>
      <w:r>
        <w:t xml:space="preserve">1. die allgemeinen Daten und die Preisdaten einer Fahrt nach § 7 Absatz 3 Satz 1 Nummer 1, soweit diese durch den Wegstreckenzähler erzeugt werden,</w:t>
      </w:r>
    </w:p>
    <w:p>
      <w:pPr>
        <w:ind w:left="420"/>
      </w:pPr>
      <w:r>
        <w:t xml:space="preserve">2. die Transaktionsnummer nach Absatz 2 Satz 1 Nummer 3,</w:t>
      </w:r>
    </w:p>
    <w:p>
      <w:pPr>
        <w:ind w:left="420"/>
      </w:pPr>
      <w:r>
        <w:t xml:space="preserve">3. den Prüfwert der Vorgangsbeendigung nach Absatz 2 Satz 1 Nummer 4 und</w:t>
      </w:r>
    </w:p>
    <w:p>
      <w:pPr>
        <w:ind w:left="420"/>
      </w:pPr>
      <w:r>
        <w:t xml:space="preserve">4. die Seriennummer des Sicherheitsmoduls.</w:t>
      </w:r>
    </w:p>
    <w:p>
      <w:r>
        <w:t xml:space="preserve">§ 6 Satz 2 bis 4 gilt entsprechend. Ein Beleg kann in Papierform oder mit Zustimmung des Belegempfängers elektronisch in einem standardisierten Datenformat ausgegeben werden.</w:t>
      </w:r>
    </w:p>
    <w:p>
      <w:r>
        <w:t xml:space="preserve">(4) § 7 Absatz 4 gilt sinngemäß.</w:t>
      </w:r>
    </w:p>
    <w:p>
      <w:r>
        <w:rPr>
          <w:color w:val="555555"/>
          <w:sz w:val="17"/>
        </w:rPr>
        <w:t xml:space="preserve">Zitiervorschlag: § 8 KassenSichV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https://recht.nulegal.eu/gesetze/KassenSichV/8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