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KassenSichV — Anforderungen an EU-Taxameter</w:t>
      </w:r>
    </w:p>
    <w:p>
      <w:r>
        <w:rPr>
          <w:color w:val="555555"/>
          <w:sz w:val="18"/>
        </w:rPr>
        <w:t xml:space="preserve">Kassensicherungsverordnung</w:t>
      </w:r>
    </w:p>
    <w:p>
      <w:r>
        <w:rPr>
          <w:color w:val="555555"/>
          <w:sz w:val="18"/>
        </w:rPr>
        <w:t xml:space="preserve">Stand: 01.02.2026 (konsolidierte Textfassung, kein amtliches Inkrafttretensdatum)</w:t>
      </w:r>
    </w:p>
    <w:p>
      <w:r>
        <w:t xml:space="preserve">(1) Die §§ 2 und 6 Satz 1 sind auf EU-Taxameter nicht anzuwenden.</w:t>
      </w:r>
    </w:p>
    <w:p>
      <w:r>
        <w:t xml:space="preserve">(2) Mit dem Umschalten von der Betriebseinstellung „Kasse“ auf die Betriebseinstellung „Frei“ muss unmittelbar eine neue Transaktion im Sicherheitsmodul gestartet werden. Die Transaktion bei EU-Taxametern hat zu enthalten:</w:t>
      </w:r>
    </w:p>
    <w:p>
      <w:pPr>
        <w:ind w:left="420"/>
      </w:pPr>
      <w:r>
        <w:t xml:space="preserve">1. die Zählwerksdaten, die allgemeinen Daten, die Preisdaten einer Fahrt und die Tarifdaten im Sinne des Anhangs IX Nummer 4 der Richtlinie 2014/32/EU,</w:t>
      </w:r>
    </w:p>
    <w:p>
      <w:pPr>
        <w:ind w:left="420"/>
      </w:pPr>
      <w:r>
        <w:t xml:space="preserve">2. den Zeitpunkt der Beendigung der Betriebseinstellung „Kasse“,</w:t>
      </w:r>
    </w:p>
    <w:p>
      <w:pPr>
        <w:ind w:left="420"/>
      </w:pPr>
      <w:r>
        <w:t xml:space="preserve">3. eine eindeutige und fortlaufende Transaktionsnummer sowie</w:t>
      </w:r>
    </w:p>
    <w:p>
      <w:pPr>
        <w:ind w:left="420"/>
      </w:pPr>
      <w:r>
        <w:t xml:space="preserve">4. die Prüfwerte.</w:t>
      </w:r>
    </w:p>
    <w:p>
      <w:r>
        <w:t xml:space="preserve">Die Daten nach Satz 2 Nummer 2 bis 4 werden manipulationssicher durch das Sicherheitsmodul festgelegt. Die Transaktionsnummer muss so beschaffen sein, dass Lücken in den Transaktionsaufzeichnungen erkennbar sind.</w:t>
      </w:r>
    </w:p>
    <w:p>
      <w:r>
        <w:t xml:space="preserve">(3) Bei EU-Taxametern hat der Beleg mindestens zu enthalten:</w:t>
      </w:r>
    </w:p>
    <w:p>
      <w:pPr>
        <w:ind w:left="420"/>
      </w:pPr>
      <w:r>
        <w:t xml:space="preserve">1. die allgemeinen Daten und die Preisdaten einer Fahrt im Sinne des Anhangs IX Nummer 4 der Richtlinie 2014/32/EU,</w:t>
      </w:r>
    </w:p>
    <w:p>
      <w:pPr>
        <w:ind w:left="420"/>
      </w:pPr>
      <w:r>
        <w:t xml:space="preserve">2. den Zeitpunkt der Beendigung der Betriebseinstellung „Kasse“ nach Absatz 2 Satz 2 Nummer 2,</w:t>
      </w:r>
    </w:p>
    <w:p>
      <w:pPr>
        <w:ind w:left="420"/>
      </w:pPr>
      <w:r>
        <w:t xml:space="preserve">3. die Transaktionsnummer nach Absatz 2 Satz 2 Nummer 3,</w:t>
      </w:r>
    </w:p>
    <w:p>
      <w:pPr>
        <w:ind w:left="420"/>
      </w:pPr>
      <w:r>
        <w:t xml:space="preserve">4. den Prüfwert der Vorgangsbeendigung nach Absatz 2 Satz 2 Nummer 4 und</w:t>
      </w:r>
    </w:p>
    <w:p>
      <w:pPr>
        <w:ind w:left="420"/>
      </w:pPr>
      <w:r>
        <w:t xml:space="preserve">5. die Seriennummer des Sicherheitsmoduls.</w:t>
      </w:r>
    </w:p>
    <w:p>
      <w:r>
        <w:t xml:space="preserve">§ 6 Satz 2 bis 4 gilt entsprechend. Ein Beleg kann in Papierform oder mit Zustimmung des Belegempfängers elektronisch in einem standardisierten Datenformat ausgegeben werden.</w:t>
      </w:r>
    </w:p>
    <w:p>
      <w:r>
        <w:t xml:space="preserve">(4) Verfügt ein EU-Taxameter nicht über einen Belegdrucker, so besteht keine Belegausgabepflicht. In diesen Fällen kann der Beleg außerhalb des EU-Taxameters in Papierform oder mit Zustimmung des Belegempfängers elektronisch in einem standardisierten Datenformat ausgegeben werden; andere gesetzliche Vorgaben bleiben unberührt. Die umsatzsteuerlichen Anforderungen an eine Rechnung bleiben unberührt.</w:t>
      </w:r>
    </w:p>
    <w:p>
      <w:r>
        <w:rPr>
          <w:color w:val="555555"/>
          <w:sz w:val="17"/>
        </w:rPr>
        <w:t xml:space="preserve">Zitiervorschlag: § 7 KassenSichV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https://recht.nulegal.eu/gesetze/KassenSichV/7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