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KassenSichV — Anforderungen an den Beleg</w:t>
      </w:r>
    </w:p>
    <w:p>
      <w:r>
        <w:rPr>
          <w:color w:val="555555"/>
          <w:sz w:val="18"/>
        </w:rPr>
        <w:t xml:space="preserve">Kassensicherungsverordnung</w:t>
      </w:r>
    </w:p>
    <w:p>
      <w:r>
        <w:rPr>
          <w:color w:val="555555"/>
          <w:sz w:val="18"/>
        </w:rPr>
        <w:t xml:space="preserve">Stand: 01.02.2026 (konsolidierte Textfassung, kein amtliches Inkrafttretensdatum)</w:t>
      </w:r>
    </w:p>
    <w:p>
      <w:r>
        <w:t xml:space="preserve">Ein Beleg muss mindestens enthalten:</w:t>
      </w:r>
    </w:p>
    <w:p>
      <w:pPr>
        <w:ind w:left="420"/>
      </w:pPr>
      <w:r>
        <w:t xml:space="preserve">1. den vollständigen Namen und die vollständige Anschrift des leistenden Unternehmers,</w:t>
      </w:r>
    </w:p>
    <w:p>
      <w:pPr>
        <w:ind w:left="420"/>
      </w:pPr>
      <w:r>
        <w:t xml:space="preserve">2. das Datum der Belegausstellung und den Zeitpunkt des Vorgangsbeginns im Sinne des § 2 Satz 2 Nummer 1 sowie den Zeitpunkt der Vorgangsbeendigung im Sinne des § 2 Satz 2 Nummer 6,</w:t>
      </w:r>
    </w:p>
    <w:p>
      <w:pPr>
        <w:ind w:left="420"/>
      </w:pPr>
      <w:r>
        <w:t xml:space="preserve">3. die Menge und die Art der gelieferten Gegenstände oder den Umfang und die Art der sonstigen Leistung,</w:t>
      </w:r>
    </w:p>
    <w:p>
      <w:pPr>
        <w:ind w:left="420"/>
      </w:pPr>
      <w:r>
        <w:t xml:space="preserve">4. die Transaktionsnummer im Sinne des § 2 Satz 2 Nummer 2,</w:t>
      </w:r>
    </w:p>
    <w:p>
      <w:pPr>
        <w:ind w:left="420"/>
      </w:pPr>
      <w:r>
        <w:t xml:space="preserve">5. das Entgelt und den darauf entfallenden Steuerbetrag für die Lieferung oder sonstige Leistung in einer Summe sowie den anzuwendenden Steuersatz oder im Fall einer Steuerbefreiung einen Hinweis darauf, dass für die Lieferung oder sonstige Leistung eine Steuerbefreiung gilt,</w:t>
      </w:r>
    </w:p>
    <w:p>
      <w:pPr>
        <w:ind w:left="420"/>
      </w:pPr>
      <w:r>
        <w:t xml:space="preserve">6. die Seriennummer des elektronischen Aufzeichnungssystems sowie die Seriennummer der zertifizierten technischen Sicherheitseinrichtung und</w:t>
      </w:r>
    </w:p>
    <w:p>
      <w:pPr>
        <w:ind w:left="420"/>
      </w:pPr>
      <w:r>
        <w:t xml:space="preserve">7. den Prüfwert der Vorgangsbeendigung im Sinne des § 2 Satz 2 Nummer 7 und den fortlaufenden Signaturzähler, der vom Sicherheitsmodul festgelegt wird.</w:t>
      </w:r>
    </w:p>
    <w:p>
      <w:r>
        <w:t xml:space="preserve">Die Angaben nach Satz 1 müssen</w:t>
      </w:r>
    </w:p>
    <w:p>
      <w:pPr>
        <w:ind w:left="420"/>
      </w:pPr>
      <w:r>
        <w:t xml:space="preserve">1. für jedermann ohne maschinelle Unterstützung lesbar sein,</w:t>
      </w:r>
    </w:p>
    <w:p>
      <w:pPr>
        <w:ind w:left="420"/>
      </w:pPr>
      <w:r>
        <w:t xml:space="preserve">2. aus einem QR-Code auslesbar sein oder</w:t>
      </w:r>
    </w:p>
    <w:p>
      <w:pPr>
        <w:ind w:left="420"/>
      </w:pPr>
      <w:r>
        <w:t xml:space="preserve">3. in einer elektronischen Rechnung nach § 14 Absatz 1 Satz 3 und 6 des Umsatzsteuergesetzes enthalten sein.</w:t>
      </w:r>
    </w:p>
    <w:p>
      <w:r>
        <w:t xml:space="preserve">Der QR-Code nach Satz 2 Nummer 2 und der strukturierte Teil nach Satz 2 Nummer 3 haben jeweils der digitalen Schnittstelle der Finanzverwaltung (DSFinV), die für die jeweils zugehörige Art des Aufzeichnungssystems vorgeschrieben ist, zu entsprechen. Die digitale Schnittstelle wird auf der Internetseite des Bundeszentralamtes für Steuern in der jeweils geltenden Fassung veröffentlicht. Ein Beleg kann in Papierform oder mit Zustimmung des Belegempfängers elektronisch in einem standardisierten Datenformat ausgegeben werden; andere gesetzliche Vorgaben bleiben unberührt.</w:t>
      </w:r>
    </w:p>
    <w:p>
      <w:r>
        <w:rPr>
          <w:color w:val="555555"/>
          <w:sz w:val="17"/>
        </w:rPr>
        <w:t xml:space="preserve">Zitiervorschlag: § 6 KassenSichV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https://recht.nulegal.eu/gesetze/KassenSichV/6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KassenSichV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