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KassenSichV — Speicherung der Grundaufzeichnungen</w:t>
      </w:r>
    </w:p>
    <w:p>
      <w:r>
        <w:rPr>
          <w:color w:val="555555"/>
          <w:sz w:val="18"/>
        </w:rPr>
        <w:t xml:space="preserve">Kassensicherungsverordnung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Speicherung der laufenden Geschäftsvorfälle oder anderen Vorgänge im Sinne des § 146a Absatz 1 Satz 1 der Abgabenordnung muss vollständig, unverändert und manipulationssicher auf einem nichtflüchtigen Speichermedium erfolgen.</w:t>
      </w:r>
    </w:p>
    <w:p>
      <w:r>
        <w:t xml:space="preserve">(2) Die gespeicherten Geschäftsvorfälle oder anderen Vorgänge im Sinne des § 146a Absatz 1 Satz 1 der Abgabenordnung müssen als Transaktionen so verkettet werden, dass Lücken in den Aufzeichnungen erkennbar sind.</w:t>
      </w:r>
    </w:p>
    <w:p>
      <w:r>
        <w:t xml:space="preserve">(3) Werden die gespeicherten digitalen Grundaufzeichnungen ganz oder teilweise von einem elektronischen Aufzeichnungssystem in ein externes elektronisches Aufbewahrungssystem übertragen, so muss sichergestellt werden, dass die Verkettung aller Transaktionen nach Absatz 2 und die Anforderungen an die einheitliche digitale Schnittstelle nach § 4 erhalten bleiben.</w:t>
      </w:r>
    </w:p>
    <w:p>
      <w:r>
        <w:t xml:space="preserve">(4) Eine Verdichtung von Grundaufzeichnungen in einem elektronischen Aufbewahrungssystem ist für die Dauer der Aufbewahrung nach § 147 Absatz 3 der Abgabenordnung unzulässig, wenn dadurch deren Lesbarkeit nicht mehr gewährleistet ist.</w:t>
      </w:r>
    </w:p>
    <w:p>
      <w:r>
        <w:rPr>
          <w:color w:val="555555"/>
          <w:sz w:val="17"/>
        </w:rPr>
        <w:t xml:space="preserve">Zitiervorschlag: § 3 KassenSichV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https://recht.nulegal.eu/gesetze/KassenSichV/3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KassenSichV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