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KassenSichV — Protokollierung von digitalen Grundaufzeichnungen</w:t>
      </w:r>
    </w:p>
    <w:p>
      <w:r>
        <w:rPr>
          <w:color w:val="555555"/>
          <w:sz w:val="18"/>
        </w:rPr>
        <w:t xml:space="preserve">Kassensicherungsverordnung</w:t>
      </w:r>
    </w:p>
    <w:p>
      <w:r>
        <w:rPr>
          <w:color w:val="555555"/>
          <w:sz w:val="18"/>
        </w:rPr>
        <w:t xml:space="preserve">Stand: 01.02.2026 (konsolidierte Textfassung, kein amtliches Inkrafttretensdatum)</w:t>
      </w:r>
    </w:p>
    <w:p>
      <w:r>
        <w:t xml:space="preserve">Für jede Aufzeichnung eines Geschäftsvorfalls oder anderen Vorgangs im Sinne des § 146a Absatz 1 Satz 1 der Abgabenordnung muss von einem elektronischen Aufzeichnungssystem unmittelbar eine neue Transaktion gestartet werden. Die Transaktion hat zu enthalten:</w:t>
      </w:r>
    </w:p>
    <w:p>
      <w:pPr>
        <w:ind w:left="420"/>
      </w:pPr>
      <w:r>
        <w:t xml:space="preserve">1. den Zeitpunkt des Vorgangsbeginns,</w:t>
      </w:r>
    </w:p>
    <w:p>
      <w:pPr>
        <w:ind w:left="420"/>
      </w:pPr>
      <w:r>
        <w:t xml:space="preserve">2. eine eindeutige und fortlaufende Transaktionsnummer,</w:t>
      </w:r>
    </w:p>
    <w:p>
      <w:pPr>
        <w:ind w:left="420"/>
      </w:pPr>
      <w:r>
        <w:t xml:space="preserve">3. die Art des Vorgangs,</w:t>
      </w:r>
    </w:p>
    <w:p>
      <w:pPr>
        <w:ind w:left="420"/>
      </w:pPr>
      <w:r>
        <w:t xml:space="preserve">4. die Daten des Vorgangs,</w:t>
      </w:r>
    </w:p>
    <w:p>
      <w:pPr>
        <w:ind w:left="420"/>
      </w:pPr>
      <w:r>
        <w:t xml:space="preserve">5. die Zahlungsarten,</w:t>
      </w:r>
    </w:p>
    <w:p>
      <w:pPr>
        <w:ind w:left="420"/>
      </w:pPr>
      <w:r>
        <w:t xml:space="preserve">6. den Zeitpunkt der Vorgangsbeendigung oder des Vorgangsabbruchs,</w:t>
      </w:r>
    </w:p>
    <w:p>
      <w:pPr>
        <w:ind w:left="420"/>
      </w:pPr>
      <w:r>
        <w:t xml:space="preserve">7. die Prüfwerte,</w:t>
      </w:r>
    </w:p>
    <w:p>
      <w:pPr>
        <w:ind w:left="420"/>
      </w:pPr>
      <w:r>
        <w:t xml:space="preserve">8. die Seriennummer des elektronischen Aufzeichnungssystems und die Seriennummer der zertifizierten technischen Sicherheitseinrichtung sowie</w:t>
      </w:r>
    </w:p>
    <w:p>
      <w:pPr>
        <w:ind w:left="420"/>
      </w:pPr>
      <w:r>
        <w:t xml:space="preserve">9. den Signaturzähler.</w:t>
      </w:r>
    </w:p>
    <w:p>
      <w:r>
        <w:t xml:space="preserve">Die Zeitpunkte nach Satz 2 Nummer 1 und 6, die Transaktionsnummer nach Satz 2 Nummer 2, die Prüfwerte nach Satz 2 Nummer 7 und der Signaturzähler nach Satz 2 Nummer 9 werden manipulationssicher durch das Sicherheitsmodul festgelegt. Die Transaktionsnummer muss so beschaffen sein, dass Lücken in Transaktionsaufzeichnungen erkennbar sind.</w:t>
      </w:r>
    </w:p>
    <w:p>
      <w:r>
        <w:rPr>
          <w:color w:val="555555"/>
          <w:sz w:val="17"/>
        </w:rPr>
        <w:t xml:space="preserve">Zitiervorschlag: § 2 KassenSichV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https://recht.nulegal.eu/gesetze/KassenSichV/2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