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KassNeuOV</w:t>
      </w:r>
    </w:p>
    <w:p>
      <w:r>
        <w:rPr>
          <w:color w:val="555555"/>
          <w:sz w:val="18"/>
        </w:rPr>
        <w:t xml:space="preserve">Verordnung zur Neuordnung der Kassenaufsicht über die Bundeskassen Halle/Saale, Kiel, Trier und Weiden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8 Abs. 3 Satz 1, 2, 4 und 5 des Finanzverwaltungsgesetzes vom 30. August 1971 (BGBl. I S. 1426, 1427), von denen § 8 Abs. 3 Satz 2, 4 und 5 durch Artikel 1 Nr. 10 Buchstabe c Doppelbuchstabe aa bis cc des Gesetzes vom 14. Dezember 2001 (BGBl. I S. 3714) geändert worden sind, verordnet das Bundesministerium der Finanzen im Benehmen mit den für die Finanzverwaltung zuständigen obersten Landesbehörden der Länder Baden-Württemberg, Bayern, Brandenburg, Hamburg, Niedersachsen, Nordrhein-Westfalen, Rheinland-Pfalz und Sachsen:</w:t>
      </w:r>
    </w:p>
    <w:p>
      <w:r>
        <w:rPr>
          <w:color w:val="555555"/>
          <w:sz w:val="17"/>
        </w:rPr>
        <w:t xml:space="preserve">Zitiervorschlag: Eingangsformel KassNeuOV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https://recht.nulegal.eu/gesetze/KassNeuOV/eingangsformel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