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KassNeuOV</w:t>
      </w:r>
    </w:p>
    <w:p>
      <w:r>
        <w:rPr>
          <w:color w:val="555555"/>
          <w:sz w:val="18"/>
        </w:rPr>
        <w:t xml:space="preserve">Verordnung zur Neuordnung der Kassenaufsicht über die Bundeskassen Halle/Saale, Kiel, Trier und Weiden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den Zoll- und Verbrauchsteuerabteilungen der Oberfinanzdirektionen Chemnitz, Cottbus, Hamburg, Hannover, Karlsruhe, Koblenz und Nürnberg nach § 8 Abs. 4 Satz 2 des Finanzverwaltungsgesetzes zugewiesenen Aufgaben im Bereich der Kassenaufsicht über die Bundeskassen mit Außenstellen werden auf die Oberfinanzdirektion Köln übertragen.</w:t>
      </w:r>
    </w:p>
    <w:p>
      <w:r>
        <w:rPr>
          <w:color w:val="555555"/>
          <w:sz w:val="17"/>
        </w:rPr>
        <w:t xml:space="preserve">Zitiervorschlag: § 1 KassNeuOV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https://recht.nulegal.eu/gesetze/KassNeuOV/1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