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KaseinV — Straftaten</w:t>
      </w:r>
    </w:p>
    <w:p>
      <w:r>
        <w:rPr>
          <w:color w:val="555555"/>
          <w:sz w:val="18"/>
        </w:rPr>
        <w:t xml:space="preserve">Kasein-Verordnung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§ 58 Absatz 1 Nummer 18, Absatz 4 bis 6 des Lebensmittel- und Futtermittelgesetzbuches wird bestraft, wer vorsätzlich oder fahrlässig entgegen § 2 Absatz 2 Kasein oder Kaseinat verwendet.</w:t>
      </w:r>
    </w:p>
    <w:p>
      <w:r>
        <w:rPr>
          <w:color w:val="555555"/>
          <w:sz w:val="17"/>
        </w:rPr>
        <w:t xml:space="preserve">Zitiervorschlag: § 4 KaseinV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https://recht.nulegal.eu/gesetze/KaseinV/4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