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KaseinV — Anwendungsbereich und Begriffsbestimmungen</w:t>
      </w:r>
    </w:p>
    <w:p>
      <w:r>
        <w:rPr>
          <w:color w:val="555555"/>
          <w:sz w:val="18"/>
        </w:rPr>
        <w:t xml:space="preserve">Kasein-Verordnung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Kaseine und Kaseinate, die für die menschliche Ernährung bestimmt sind, und für Mischungen daraus.</w:t>
      </w:r>
    </w:p>
    <w:p>
      <w:r>
        <w:t xml:space="preserve">(2) Für die Anwendung dieser Verordnung gelten folgende Begriffsbestimmungen:</w:t>
      </w:r>
    </w:p>
    <w:p>
      <w:pPr>
        <w:ind w:left="420"/>
      </w:pPr>
      <w:r>
        <w:t xml:space="preserve">1. „Säure-Nährkasein“: ein Milcherzeugnis, das durch Trennen, Waschen und Trocknen des mit Säure ausgefällten Koagulats von Magermilch oder anderen Milcherzeugnissen gewonnen wird;</w:t>
      </w:r>
    </w:p>
    <w:p>
      <w:pPr>
        <w:ind w:left="420"/>
      </w:pPr>
      <w:r>
        <w:t xml:space="preserve">2. „Labnährkasein“: ein Milcherzeugnis, das durch Trennen, Waschen und Trocknen des Koagulats von Magermilch oder anderen Milcherzeugnissen gewonnen wird; das Koagulat entsteht durch die Reaktion mit Lab oder anderen milchkoagulierenden Enzymen;</w:t>
      </w:r>
    </w:p>
    <w:p>
      <w:pPr>
        <w:ind w:left="420"/>
      </w:pPr>
      <w:r>
        <w:t xml:space="preserve">3. „Nährkaseinat“: ein Milcherzeugnis, das durch die Behandlung von Nährkasein oder von Koagulat von Nährkasein mit neutralisierenden Stoffen und anschließender Trocknung gewonnen wird.</w:t>
      </w:r>
    </w:p>
    <w:p>
      <w:r>
        <w:rPr>
          <w:color w:val="555555"/>
          <w:sz w:val="17"/>
        </w:rPr>
        <w:t xml:space="preserve">Zitiervorschlag: § 1 KaseinV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https://recht.nulegal.eu/gesetze/KaseinV/1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