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KartRingfV 2001 — Verwendung und Behandlung bei Befall an Tomatenpflanzen</w:t>
      </w:r>
    </w:p>
    <w:p>
      <w:r>
        <w:rPr>
          <w:color w:val="555555"/>
          <w:sz w:val="18"/>
        </w:rPr>
        <w:t xml:space="preserve">Verordnung zur Bekämpfung der Bakteriellen Ringfäule und der Schleimkrankheit</w:t>
      </w:r>
    </w:p>
    <w:p>
      <w:r>
        <w:rPr>
          <w:color w:val="555555"/>
          <w:sz w:val="18"/>
        </w:rPr>
        <w:t xml:space="preserve">Stand: 10.06.2019 (konsolidierte Textfassung, kein amtliches Inkrafttretensdatum)</w:t>
      </w:r>
    </w:p>
    <w:p>
      <w:r>
        <w:t xml:space="preserve">(1) Verfügungsberechtigte und Besitzer sind verpflichtet,</w:t>
      </w:r>
    </w:p>
    <w:p>
      <w:pPr>
        <w:ind w:left="420"/>
      </w:pPr>
      <w:r>
        <w:t xml:space="preserve">1. Tomatenpflanzen einer befallenen Anbaufläche, einer befallenen Gewächshauseinheit, einer befallenen Sendung oder einer befallenen Partie oder die Tomatenpflanzen, deren wahrscheinlicher Befall nach § 4 Abs. 1 Nr. 2 Buchstabe b festgestellt worden ist, unverzüglich zu vernichten oder nur so zu verwenden oder zu behandeln, dass eine Ausbreitung der Schleimkrankheit verhindert wird,</w:t>
      </w:r>
    </w:p>
    <w:p>
      <w:pPr>
        <w:ind w:left="420"/>
      </w:pPr>
      <w:r>
        <w:t xml:space="preserve">2. Sachen, die mit Tomatenpflanzen einer befallenen Anbaufläche, einer befallenen Gewächshauseinheit oder eines befallenen Teils einer Sendung oder mit Tomatenpflanzen, deren wahrscheinlicher Befall nach § 4 Abs. 1 Nr. 2 Buchstabe b festgestellt worden ist, tatsächlich oder möglicherweise in Berührung gekommen sind, unverzüglich zu vernichten oder nur so zu behandeln, dass der Erreger der Schleimkrankheit vernichtet wird, bevor sie mit anderen Tomatenpflanzen oder anderen Wirtspflanzen in Berührung kommen,</w:t>
      </w:r>
    </w:p>
    <w:p>
      <w:pPr>
        <w:ind w:left="420"/>
      </w:pPr>
      <w:r>
        <w:t xml:space="preserve">3. andere Pflanzenteile, deren Befall oder wahrscheinlicher Befall mit der Schleimkrankheit festgestellt worden ist, unverzüglich so zu beseitigen oder zu verwenden, dass keine Gefahr der Verschleppung des Schadorganismus besteht.</w:t>
      </w:r>
    </w:p>
    <w:p>
      <w:r>
        <w:t xml:space="preserve">Die Pflicht zur Vernichtung oder Behandlung nach Nummer 2 endet, wenn seit der tatsächlichen oder möglichen Berührung mit Kartoffeln einer befallenen Anbaufläche, einer befallenen Lagereinheit oder eines befallenen Teils einer Sendung zwölf Monate verstrichen sind.</w:t>
      </w:r>
    </w:p>
    <w:p>
      <w:r>
        <w:t xml:space="preserve">(2) Die Verwendung von Tomatenpflanzen nach Absatz 1 Nr. 1 ist auch die Verarbeitung, wenn die Lieferung auf direktem Weg an einen Betrieb erfolgt, der über Reinigungs- und Desinfektionsmöglichkeiten sowie über Anlagen zur Behandlung der Abfälle verfügt, die gewährleisten, dass der Schadorganismus nicht verschleppt werden kann. Die Transportmittel, mit denen die Belieferung des Verarbeitungsbetriebes mit befallenen Tomaten erfolgt ist, sind vor einer erneuten Verwendung zu reinigen und zu desinfizieren. Werden Tomatenpflanzen, die mit der Schleimkrankheit befallen sind, nach Satz 1 verarbeitet, so hat der Betriebsleiter des Verarbeitungsbetriebes nach den in Anhang VII der Richtlinie 98/57/EG aufgeführten Verfahren die bei der Verarbeitung befallener Pflanzen anfallenden Abfälle unverzüglich zu entsorgen und die anfallenden Abwässer unverzüglich zu behandeln.</w:t>
      </w:r>
    </w:p>
    <w:p>
      <w:r>
        <w:t xml:space="preserve">(3) Die zuständige Behörde kann zu den Absätzen 1 und 2 nähere Anordnungen treffen, soweit dies zur Bekämpfung des Schadorganismus erforderlich ist.</w:t>
      </w:r>
    </w:p>
    <w:p>
      <w:r>
        <w:rPr>
          <w:color w:val="555555"/>
          <w:sz w:val="17"/>
        </w:rPr>
        <w:t xml:space="preserve">Zitiervorschlag: § 9 KartRingfV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https://recht.nulegal.eu/gesetze/KartRingfV%202001/9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KartRingfV 2001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