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KartRingfV 2001 — Abgrenzung und Aufhebung der Sicherheitszone</w:t>
      </w:r>
    </w:p>
    <w:p>
      <w:r>
        <w:rPr>
          <w:color w:val="555555"/>
          <w:sz w:val="18"/>
        </w:rPr>
        <w:t xml:space="preserve">Verordnung zur Bekämpfung der Bakteriellen Ringfäule und der Schleimkrankheit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bei der Bakteriellen Ringfäule oder der Schleimkrankheit Befall festgestellt, so grenzt die zuständige Behörde eine Sicherheitszone ab.</w:t>
      </w:r>
    </w:p>
    <w:p>
      <w:r>
        <w:t xml:space="preserve">(2) Die Sicherheitszone umfasst</w:t>
      </w:r>
    </w:p>
    <w:p>
      <w:pPr>
        <w:ind w:left="420"/>
      </w:pPr>
      <w:r>
        <w:t xml:space="preserve">1. im Falle der Bakteriellen Ringfäule insbesondere</w:t>
      </w:r>
    </w:p>
    <w:p>
      <w:pPr>
        <w:ind w:left="780"/>
      </w:pPr>
      <w:r>
        <w:t xml:space="preserve">a) Betriebe, Lager oder Lagereinheiten, bei denen Befall nach § 4 Abs. 1 Nr. 1 Buchstabe a oder wahrscheinlicher Befall nach § 4 Abs. 1 Nr. 1 Buchstabe b festgestellt worden ist, und</w:t>
      </w:r>
    </w:p>
    <w:p>
      <w:pPr>
        <w:ind w:left="780"/>
      </w:pPr>
      <w:r>
        <w:t xml:space="preserve">b) unter Berücksichtigung des Anhangs III Nr. 2 der Richtlinie 93/85/EWG ein Gebiet, in dem sich der Schadorganismus nach der Produktionsplanung und den Produktionsbedingungen in diesem Gebiet verbreiten könnte,</w:t>
      </w:r>
    </w:p>
    <w:p>
      <w:pPr>
        <w:ind w:left="420"/>
      </w:pPr>
      <w:r>
        <w:t xml:space="preserve">2. im Falle der Schleimkrankheit insbesondere</w:t>
      </w:r>
    </w:p>
    <w:p>
      <w:pPr>
        <w:ind w:left="780"/>
      </w:pPr>
      <w:r>
        <w:t xml:space="preserve">a) Betriebe, Lager oder Lagereinheiten, bei denen Befall nach § 4 Abs. 1 Nr. 2 Buchstabe a oder wahrscheinlicher Befall nach § 4 Abs. 1 Nr. 2 Buchstabe b festgestellt worden ist, und</w:t>
      </w:r>
    </w:p>
    <w:p>
      <w:pPr>
        <w:ind w:left="780"/>
      </w:pPr>
      <w:r>
        <w:t xml:space="preserve">b) unter Berücksichtigung des Anhangs V Nr. 2 der Richtlinie 98/57/EG ein Gebiet, in dem sich der Schadorganismus nach der Produktionsplanung und den Produktionsbedingungen in diesem Gebiet verbreiten könnte.</w:t>
      </w:r>
    </w:p>
    <w:p>
      <w:r>
        <w:t xml:space="preserve">(3) Die zuständige Behörde hebt die Sicherheitszone auf, wenn bei der Bakteriellen Ringfäule oder der Schleimkrankheit an Kartoffeln oder an Tomatenpflanzen seit dem letzten Auftreten der Krankheit drei Jahre vergangen sind.</w:t>
      </w:r>
    </w:p>
    <w:p>
      <w:r>
        <w:rPr>
          <w:color w:val="555555"/>
          <w:sz w:val="17"/>
        </w:rPr>
        <w:t xml:space="preserve">Zitiervorschlag: § 5 KartRingfV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https://recht.nulegal.eu/gesetze/KartRingfV%202001/5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