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KartKostV</w:t>
      </w:r>
    </w:p>
    <w:p>
      <w:r>
        <w:rPr>
          <w:color w:val="555555"/>
          <w:sz w:val="18"/>
        </w:rPr>
        <w:t xml:space="preserve">Verordnung über die Kosten der Kartellbehörden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Kostenentscheidungen der Kartellbehörden und Anforderungen von Vorschüssen oder Sicherheitsleistungen nach § 16 des Verwaltungskostengesetzes in der bis zum 14. August 2013 geltenden Fassung sind Verfügungen im Sinne des § 62 Abs. 1 des Gesetzes.</w:t>
      </w:r>
    </w:p>
    <w:p>
      <w:r>
        <w:t xml:space="preserve">(2) Wird die Kostenentscheidung angefochten, so kann die Kostenforderung auf Antrag des Kostenschuldners gestundet werden, bis die Kostenentscheidung unanfechtbar geworden ist.</w:t>
      </w:r>
    </w:p>
    <w:p>
      <w:r>
        <w:rPr>
          <w:color w:val="555555"/>
          <w:sz w:val="17"/>
        </w:rPr>
        <w:t xml:space="preserve">Zitiervorschlag: § 7 KartKostV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https://recht.nulegal.eu/gesetze/KartKostV/7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