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KartKostV</w:t>
      </w:r>
    </w:p>
    <w:p>
      <w:r>
        <w:rPr>
          <w:color w:val="555555"/>
          <w:sz w:val="18"/>
        </w:rPr>
        <w:t xml:space="preserve">Verordnung über die Kosten der Kartellbehörden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Überzahlte oder zu Unrecht erhobene Kosten sind unverzüglich zu erstatten, zu Unrecht erhobene Kosten jedoch nur, soweit eine Kostenentscheidung noch nicht unanfechtbar geworden ist; nach diesem Zeitpunkt können zu Unrecht erhobene Kosten nur aus Billigkeitsgründen erstattet werden.</w:t>
      </w:r>
    </w:p>
    <w:p>
      <w:r>
        <w:t xml:space="preserve">(2) Der Anspruch auf Rückerstattung erlischt durch Verjährung wenn er nicht bis zum Ablauf des vierten Kalenderjahres geltend gemacht wird, das auf die Entstehung des Anspruchs folgt; die Verjährung beginnt jedoch nicht vor der Unanfechtbarkeit der Kostenentscheidung.</w:t>
      </w:r>
    </w:p>
    <w:p>
      <w:r>
        <w:rPr>
          <w:color w:val="555555"/>
          <w:sz w:val="17"/>
        </w:rPr>
        <w:t xml:space="preserve">Zitiervorschlag: § 6 KartKostV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https://recht.nulegal.eu/gesetze/KartKostV/6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