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KartKostV</w:t>
      </w:r>
    </w:p>
    <w:p>
      <w:r>
        <w:rPr>
          <w:color w:val="555555"/>
          <w:sz w:val="18"/>
        </w:rPr>
        <w:t xml:space="preserve">Verordnung über die Kosten der Kartellbehörden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 Verordnung tritt am Tage nach ihrer Verkündung in Kraft.</w:t>
      </w:r>
    </w:p>
    <w:p>
      <w:r>
        <w:t xml:space="preserve">(2) Sie findet auch Anwendung auf Verfahren vor der Kartellbehörde, die bei Inkrafttreten der Verordnung bereits abgeschlossen waren und in denen Gebühren noch nicht erhoben worden sind.</w:t>
      </w:r>
    </w:p>
    <w:p>
      <w:r>
        <w:t xml:space="preserve">(3) Mit dem gleichen Zeitpunkt treten folgende Rechtsvorschriften außer Kraft: 1.</w:t>
      </w:r>
    </w:p>
    <w:p>
      <w:pPr>
        <w:ind w:left="420"/>
      </w:pPr>
      <w:r>
        <w:t xml:space="preserve">2. die für das Land Niedersachsen erlassene Verordnung über die Gebühren der Landeskartellbehörde vom 10. April 1967 (Nieders. GVBl S. 117);</w:t>
      </w:r>
    </w:p>
    <w:p>
      <w:pPr>
        <w:ind w:left="420"/>
      </w:pPr>
      <w:r>
        <w:t xml:space="preserve">3. die für das Land Baden-Württemberg erlassene Verordnung über die Änderung des Verzeichnisses der Verwaltungsgebühren (Gebührenverzeichnis) vom 9. Dezember 1968 (Ges. Bl. Baden-Württemberg S. 466).</w:t>
      </w:r>
    </w:p>
    <w:p>
      <w:r>
        <w:rPr>
          <w:color w:val="555555"/>
          <w:sz w:val="17"/>
        </w:rPr>
        <w:t xml:space="preserve">Zitiervorschlag: § 11 KartKostV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https://recht.nulegal.eu/gesetze/KartKostV/11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