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KartKostV</w:t>
      </w:r>
    </w:p>
    <w:p>
      <w:r>
        <w:rPr>
          <w:color w:val="555555"/>
          <w:sz w:val="18"/>
        </w:rPr>
        <w:t xml:space="preserve">Verordnung über die Kosten der Kartellbehörden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§ 107 des Gesetzes auch im Land Berlin.</w:t>
      </w:r>
    </w:p>
    <w:p>
      <w:r>
        <w:rPr>
          <w:color w:val="555555"/>
          <w:sz w:val="17"/>
        </w:rPr>
        <w:t xml:space="preserve">Zitiervorschlag: § 10 KartKostV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https://recht.nulegal.eu/gesetze/KartKostV/10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KartKostV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