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KartKostV</w:t>
      </w:r>
    </w:p>
    <w:p>
      <w:r>
        <w:rPr>
          <w:color w:val="555555"/>
          <w:sz w:val="18"/>
        </w:rPr>
        <w:t xml:space="preserve">Verordnung über die Kosten der Kartellbehörden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 Verwaltungsverfahren erheben die nach § 44 Abs. 1 des Gesetzes gegen Wettbewerbsbeschränkungen (Gesetz) zuständigen Kartellbehörden Kosten (Gebühren und Auslagen) nach § 80 des Gesetzes und nach dieser Verordnung. Ergänzend gelten die Vorschriften des 3. Abschnittes des Verwaltungskostengesetzes (Bundesgesetzbl. I S. 821) in der bis zum 14. August 2013 geltenden Fassung vom 23. Juni 1970.</w:t>
      </w:r>
    </w:p>
    <w:p>
      <w:r>
        <w:t xml:space="preserve">(2) Die Erstattung der Auslagen nach § 80 Abs. 2 Satz 3 des Gesetzes kann auch verlangt werden, wenn Gebührenfreiheit besteht oder von der Gebührenerhebung abgesehen wird.</w:t>
      </w:r>
    </w:p>
    <w:p>
      <w:r>
        <w:rPr>
          <w:color w:val="555555"/>
          <w:sz w:val="17"/>
        </w:rPr>
        <w:t xml:space="preserve">Zitiervorschlag: § 1 KartKostV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https://recht.nulegal.eu/gesetze/KartKostV/1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