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KappGrenzV (Brandenburg) — Inkrafttreten, Außerkrafttreten</w:t>
      </w:r>
    </w:p>
    <w:p>
      <w:r>
        <w:rPr>
          <w:color w:val="555555"/>
          <w:sz w:val="18"/>
        </w:rPr>
        <w:t xml:space="preserve">Kappungsgrenzenverordnung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Januar 2026 in Kraft und mit Ablauf des 31. Dezember 2030 außer Kraft.</w:t>
      </w:r>
    </w:p>
    <w:p>
      <w:r>
        <w:t xml:space="preserve">Potsdam, den 3. Dezember 2025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für Infrastruktur und Landesplanung</w:t>
      </w:r>
    </w:p>
    <w:p>
      <w:r>
        <w:t xml:space="preserve">In Vertretung</w:t>
      </w:r>
    </w:p>
    <w:p>
      <w:r>
        <w:t xml:space="preserve">Dr. Ina Bartmann</w:t>
      </w:r>
    </w:p>
    <w:p>
      <w:r>
        <w:rPr>
          <w:color w:val="555555"/>
          <w:sz w:val="17"/>
        </w:rPr>
        <w:t xml:space="preserve">Zitiervorschlag: § 2 KappGrenzV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https://recht.nulegal.eu/gesetze/KappGrenzV/2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