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KapVO (Nordrhein-Westfalen)</w:t>
      </w:r>
    </w:p>
    <w:p>
      <w:r>
        <w:rPr>
          <w:color w:val="555555"/>
          <w:sz w:val="18"/>
        </w:rPr>
        <w:t xml:space="preserve">Kapazitätsverordnung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Berechnung werden Lehreinheiten zugrunde gelegt, denen die Studiengänge zuzuordnen sind. Ein Studiengang ist der Lehreinheit zuzuordnen, bei der er den überwiegenden Teil der Lehrveranstaltungsstunden nachfragt. Die einer Lehreinheit zugeordneten Studiengänge können bei der Berechnung zusammengefaßt werden.</w:t>
      </w:r>
    </w:p>
    <w:p>
      <w:r>
        <w:t xml:space="preserve">(2) Eine Lehreinheit ist eine für Zwecke der Kapazitätsermittlung abgegrenzte fachliche Einheit, die ein Lehrangebot bereitstellt. Die Lehreinheiten sind so abzugrenzen, daß die zugeordneten Studiengänge die Lehrveranstaltungsstunden möglichst weitgehend bei einer Lehreinheit nachfragen.</w:t>
      </w:r>
    </w:p>
    <w:p>
      <w:r>
        <w:t xml:space="preserve">(3) Der Studiengang Medizin wird für Berechnungszwecke in einen vorklinischen und einen klinischen Teil untergliedert, wobei der vorklinische Teil den Studienabschnitt bis zum Ersten Abschnitt der Ärztlichen Prüfung nach § 1 Abs. 3 Satz 1 Nr. 1 der Approbationsordnung für Ärzte vom 27. Juni 2002 (BGBl. I S. 2405) und der klinische Teil den Studienabschnitt zwischen dem Ersten Abschnitt der Ärztlichen Prüfung und dem Beginn des Praktischen Jahres nach § 1 Abs. 2 Satz 1 Nr. 1 der Approbationsordnung für Ärzte umfasst. Zur Berechnung der jährlichen Aufnahmekapazität für den Studiengang Medizin sind die Lehreinheiten Vorklinische Medizin, Klinisch-theoretische Medizin und Klinisch-praktische Medizin zu bilden. Der vorklinische Teil des Studiengangs wird der Lehreinheit Vorklinische Medizin, der klinische Teil des Studiengangs der Lehreinheit Klinisch-praktische Medizin zugeordnet; die Lehreinheit Klinisch-theoretische Medizin erbringt für den Studiengang Medizin Dienstleistungen (§ 11).</w:t>
      </w:r>
    </w:p>
    <w:p>
      <w:r>
        <w:rPr>
          <w:color w:val="555555"/>
          <w:sz w:val="17"/>
        </w:rPr>
        <w:t xml:space="preserve">Zitiervorschlag: § 7 KapVO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https://recht.nulegal.eu/gesetze/KapVO/7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