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entsprechend für Hochschulen, an denen die jährliche Unterrichtsdauer in anderer Weise als nach Semestern aufgeteilt ist.</w:t>
      </w:r>
    </w:p>
    <w:p>
      <w:r>
        <w:t xml:space="preserve">(2) Diese Verordnung gilt entsprechend für die Festsetzung von Zulassungszahlen für höhere Fachsemester.</w:t>
      </w:r>
    </w:p>
    <w:p>
      <w:r>
        <w:t xml:space="preserve">(3) Diese Verordnung gilt auch für Fernstudiengänge. Die näheren Bestimmungen erläßt das Ministerium für Wissenschaft und Forschung in Abstimmung mit den anderen Ländern.</w:t>
      </w:r>
    </w:p>
    <w:p>
      <w:r>
        <w:rPr>
          <w:color w:val="555555"/>
          <w:sz w:val="17"/>
        </w:rPr>
        <w:t xml:space="preserve">Zitiervorschlag: § 22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