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KapVO (Nordrhein-Westfalen)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Liegen die Voraussetzungen des Artikels 7 Abs. 2 Satz 2 des Staatsvertrages vor (§ 1 Abs. 2 Satz 1), können Zulassungszahlen abweichend von den Bestimmungen des Zweiten Abschnitts festgesetzt werden.</w:t>
      </w:r>
    </w:p>
    <w:p>
      <w:r>
        <w:t xml:space="preserve">Vierter Abschnitt</w:t>
      </w:r>
    </w:p>
    <w:p>
      <w:r>
        <w:t xml:space="preserve">Schlußbestimmungen</w:t>
      </w:r>
    </w:p>
    <w:p>
      <w:r>
        <w:rPr>
          <w:color w:val="555555"/>
          <w:sz w:val="17"/>
        </w:rPr>
        <w:t xml:space="preserve">Zitiervorschlag: § 21 KapVO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