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KapVO (Nordrhein-Westfalen)</w:t>
      </w:r>
    </w:p>
    <w:p>
      <w:r>
        <w:rPr>
          <w:color w:val="555555"/>
          <w:sz w:val="18"/>
        </w:rPr>
        <w:t xml:space="preserve">Kapazitätsverordnung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Berechnungsergebnis für den Studiengang Zahnmedizin ist anhand der klinischen Behandlungseinheiten der Lehreinheit Zahnmedizin zu überprüfen. Als Grenzwert für die jährliche Aufnahmekapazität ist 0,67 klinische Behandlungseinheiten für die Zahnerhaltungs- und Zahnersatzkunde je Studentin oder Student anzusetzen.</w:t>
      </w:r>
    </w:p>
    <w:p>
      <w:r>
        <w:t xml:space="preserve">(2) Weichen die Berechnungsergebnisse nach Absatz 1 und nach dem Zweiten Abschnitt unter Berücksichtigung der Überprüfung nach § 14 Abs. 2 Nrn. 1 bis 3, 5 und 7 und Abs. 3 Nrn. 1 bis 3 voneinander ab, so ist der Festsetzung der Zulassungszahl der niedrigste Wert zugrunde zu legen.</w:t>
      </w:r>
    </w:p>
    <w:p>
      <w:r>
        <w:rPr>
          <w:color w:val="555555"/>
          <w:sz w:val="17"/>
        </w:rPr>
        <w:t xml:space="preserve">Zitiervorschlag: § 19 KapVO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https://recht.nulegal.eu/gesetze/KapVO/19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